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27"/>
          <w:szCs w:val="27"/>
          <w:shd w:val="clear" w:fill="FFFFFF"/>
        </w:rPr>
        <w:t>2018年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27"/>
          <w:szCs w:val="27"/>
          <w:shd w:val="clear" w:fill="FFFFFF"/>
        </w:rPr>
        <w:t>文山州“三支一扶”人员招募资格复审通告</w:t>
      </w:r>
    </w:p>
    <w:bookmarkEnd w:id="0"/>
    <w:p>
      <w:r>
        <w:drawing>
          <wp:inline distT="0" distB="0" distL="114300" distR="114300">
            <wp:extent cx="5270500" cy="6590665"/>
            <wp:effectExtent l="0" t="0" r="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590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28260" cy="7441565"/>
            <wp:effectExtent l="0" t="0" r="152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7441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28260" cy="6026785"/>
            <wp:effectExtent l="0" t="0" r="152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6026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825A2"/>
    <w:rsid w:val="2C8825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2018-06-28T09:02:00Z</dcterms:created>
  <dc:creator>ASUS</dc:creator>
  <cp:lastModifiedBy>ASUS</cp:lastModifiedBy>
  <dcterms:modified xsi:type="dcterms:W3CDTF">2018-06-28T09:03:48Z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