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12" w:beforeAutospacing="0" w:after="0" w:afterAutospacing="0" w:line="263" w:lineRule="atLeast"/>
        <w:ind w:left="0" w:right="0" w:firstLine="480"/>
        <w:jc w:val="both"/>
        <w:rPr>
          <w:rFonts w:ascii="Calibri" w:hAnsi="Calibri" w:cs="Calibri"/>
          <w:i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shd w:val="clear" w:fill="FFFFFF"/>
        </w:rPr>
        <w:t>住培毕业生和临床类医学研究生招聘待遇</w:t>
      </w:r>
    </w:p>
    <w:tbl>
      <w:tblPr>
        <w:tblW w:w="9288" w:type="dxa"/>
        <w:jc w:val="center"/>
        <w:tblInd w:w="-38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2453"/>
        <w:gridCol w:w="1145"/>
        <w:gridCol w:w="677"/>
        <w:gridCol w:w="1608"/>
        <w:gridCol w:w="21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24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学历（学位）</w:t>
            </w:r>
          </w:p>
        </w:tc>
        <w:tc>
          <w:tcPr>
            <w:tcW w:w="1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</w:tc>
        <w:tc>
          <w:tcPr>
            <w:tcW w:w="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年限</w:t>
            </w:r>
          </w:p>
        </w:tc>
        <w:tc>
          <w:tcPr>
            <w:tcW w:w="1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发放办法</w:t>
            </w:r>
          </w:p>
        </w:tc>
        <w:tc>
          <w:tcPr>
            <w:tcW w:w="21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2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住院医师规范化培训毕业生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本科、医学学士学位（共10万元）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2万元/年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5年</w:t>
            </w:r>
          </w:p>
        </w:tc>
        <w:tc>
          <w:tcPr>
            <w:tcW w:w="16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工作满1年且考核合格后逐年发放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必须同时拥有毕业证、学位证、医师资格证、住培合格证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研究生、临床类专业型硕士学位（共15万元）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3万元/年</w:t>
            </w:r>
          </w:p>
        </w:tc>
        <w:tc>
          <w:tcPr>
            <w:tcW w:w="6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非住培硕士研究生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研究生、临床类学术型硕士学位（共10万元）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2万元/年</w:t>
            </w:r>
          </w:p>
        </w:tc>
        <w:tc>
          <w:tcPr>
            <w:tcW w:w="6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同时拥有毕业证、学位证、医师资格证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31DC6"/>
    <w:rsid w:val="3B531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2019-02-20T07:09:00Z</dcterms:created>
  <dc:creator>ASUS</dc:creator>
  <cp:lastModifiedBy>ASUS</cp:lastModifiedBy>
  <dcterms:modified xsi:type="dcterms:W3CDTF">2019-02-20T07:09:28Z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