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93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010"/>
        <w:gridCol w:w="2415"/>
        <w:gridCol w:w="705"/>
        <w:gridCol w:w="1005"/>
        <w:gridCol w:w="72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专业类别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应</w:t>
            </w:r>
            <w:r>
              <w:rPr>
                <w:rStyle w:val="4"/>
                <w:rFonts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干部病房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老年病学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（内分泌方向）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肿瘤内科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肿瘤学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神经病学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内科学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消化内科学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感染性疾病科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内科学（传染）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传染病学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科研型研究生1人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普外二区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（血管外科方向）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（神经外科方向）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烧伤整形外科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（烧伤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整形外科方向）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（耳鼻咽喉方向）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介入科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（内科、外科方向）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麻醉科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（重症医学方向）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（急诊医学方向）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内科综合病房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全科医学专业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口腔科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口内、口外、修复、正畸方向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病理诊断学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皮肤科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皮肤病与性病学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</w:pPr>
      <w:r>
        <w:rPr>
          <w:rStyle w:val="4"/>
          <w:rFonts w:hint="default" w:ascii="楷体_GB2312" w:eastAsia="楷体_GB2312" w:cs="楷体_GB2312"/>
          <w:sz w:val="28"/>
          <w:szCs w:val="28"/>
          <w:bdr w:val="none" w:color="auto" w:sz="0" w:space="0"/>
        </w:rPr>
        <w:t>备注：个别岗位条件可放宽至全日制省属医科大学（一本生源）。</w:t>
      </w:r>
    </w:p>
    <w:tbl>
      <w:tblPr>
        <w:tblW w:w="93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115"/>
        <w:gridCol w:w="2325"/>
        <w:gridCol w:w="645"/>
        <w:gridCol w:w="975"/>
        <w:gridCol w:w="690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专业类别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应</w:t>
            </w:r>
            <w:r>
              <w:rPr>
                <w:rStyle w:val="4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耳鼻咽喉科门诊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检查室医师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临床医学（医技）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影像科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ECT医师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体检科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超声诊断医师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超声医学</w:t>
            </w: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0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44D4"/>
    <w:rsid w:val="2B0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2019-03-15T02:44:00Z</dcterms:created>
  <dc:creator>Administrator</dc:creator>
  <cp:lastModifiedBy>Administrator</cp:lastModifiedBy>
  <dcterms:modified xsi:type="dcterms:W3CDTF">2019-03-15T02:47:28Z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